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E36" w:rsidRDefault="00706E36" w:rsidP="00706E36">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35 La Chiesa Madre e Maestra 4</w:t>
      </w:r>
    </w:p>
    <w:p w:rsidR="00706E36" w:rsidRDefault="00706E36" w:rsidP="00706E36">
      <w:pPr>
        <w:spacing w:after="0" w:line="240" w:lineRule="atLeast"/>
        <w:jc w:val="both"/>
        <w:rPr>
          <w:rFonts w:ascii="Times New Roman" w:hAnsi="Times New Roman" w:cs="Times New Roman"/>
          <w:sz w:val="24"/>
          <w:szCs w:val="24"/>
        </w:rPr>
      </w:pPr>
    </w:p>
    <w:p w:rsidR="00706E36" w:rsidRDefault="00706E36" w:rsidP="00706E36">
      <w:pPr>
        <w:spacing w:after="0" w:line="240" w:lineRule="atLeast"/>
        <w:jc w:val="both"/>
        <w:rPr>
          <w:rFonts w:ascii="Times New Roman" w:hAnsi="Times New Roman" w:cs="Times New Roman"/>
          <w:sz w:val="24"/>
          <w:szCs w:val="24"/>
        </w:rPr>
      </w:pPr>
    </w:p>
    <w:p w:rsidR="00706E36" w:rsidRDefault="00706E36" w:rsidP="00706E36">
      <w:pPr>
        <w:spacing w:after="0" w:line="240" w:lineRule="atLeast"/>
        <w:jc w:val="both"/>
        <w:rPr>
          <w:rFonts w:ascii="Times New Roman" w:hAnsi="Times New Roman" w:cs="Times New Roman"/>
          <w:sz w:val="24"/>
          <w:szCs w:val="24"/>
        </w:rPr>
      </w:pPr>
    </w:p>
    <w:p w:rsidR="00706E36" w:rsidRDefault="00706E36" w:rsidP="00706E36">
      <w:pPr>
        <w:spacing w:after="0" w:line="240" w:lineRule="atLeast"/>
        <w:jc w:val="both"/>
        <w:rPr>
          <w:rFonts w:ascii="Times New Roman" w:hAnsi="Times New Roman" w:cs="Times New Roman"/>
          <w:sz w:val="24"/>
          <w:szCs w:val="24"/>
        </w:rPr>
      </w:pPr>
    </w:p>
    <w:p w:rsidR="00706E36" w:rsidRDefault="00706E36" w:rsidP="00706E36">
      <w:pPr>
        <w:spacing w:after="0" w:line="240" w:lineRule="atLeast"/>
        <w:jc w:val="both"/>
        <w:rPr>
          <w:rFonts w:ascii="Times New Roman" w:hAnsi="Times New Roman" w:cs="Times New Roman"/>
          <w:sz w:val="24"/>
          <w:szCs w:val="24"/>
        </w:rPr>
      </w:pPr>
    </w:p>
    <w:p w:rsidR="00706E36" w:rsidRPr="0069716F" w:rsidRDefault="00706E36" w:rsidP="00706E36">
      <w:pPr>
        <w:spacing w:after="0" w:line="240" w:lineRule="atLeast"/>
        <w:jc w:val="center"/>
        <w:rPr>
          <w:rFonts w:ascii="Times New Roman" w:hAnsi="Times New Roman" w:cs="Times New Roman"/>
          <w:b/>
          <w:sz w:val="24"/>
          <w:szCs w:val="24"/>
        </w:rPr>
      </w:pPr>
      <w:r w:rsidRPr="0069716F">
        <w:rPr>
          <w:rFonts w:ascii="Times New Roman" w:hAnsi="Times New Roman" w:cs="Times New Roman"/>
          <w:b/>
          <w:sz w:val="24"/>
          <w:szCs w:val="24"/>
        </w:rPr>
        <w:t xml:space="preserve">NOTA DOTTRINALE </w:t>
      </w:r>
    </w:p>
    <w:p w:rsidR="00706E36" w:rsidRPr="0069716F" w:rsidRDefault="00706E36" w:rsidP="00706E36">
      <w:pPr>
        <w:spacing w:after="0" w:line="240" w:lineRule="atLeast"/>
        <w:jc w:val="center"/>
        <w:rPr>
          <w:rFonts w:ascii="Times New Roman" w:hAnsi="Times New Roman" w:cs="Times New Roman"/>
          <w:b/>
          <w:sz w:val="24"/>
          <w:szCs w:val="24"/>
        </w:rPr>
      </w:pPr>
      <w:r w:rsidRPr="0069716F">
        <w:rPr>
          <w:rFonts w:ascii="Times New Roman" w:hAnsi="Times New Roman" w:cs="Times New Roman"/>
          <w:b/>
          <w:sz w:val="24"/>
          <w:szCs w:val="24"/>
        </w:rPr>
        <w:t xml:space="preserve">circa alcune questioni riguardanti l'impegno e il comportamento </w:t>
      </w:r>
    </w:p>
    <w:p w:rsidR="00706E36" w:rsidRDefault="00706E36" w:rsidP="00706E36">
      <w:pPr>
        <w:spacing w:after="0" w:line="240" w:lineRule="atLeast"/>
        <w:jc w:val="center"/>
        <w:rPr>
          <w:rFonts w:ascii="Times New Roman" w:hAnsi="Times New Roman" w:cs="Times New Roman"/>
          <w:b/>
          <w:sz w:val="24"/>
          <w:szCs w:val="24"/>
        </w:rPr>
      </w:pPr>
      <w:r w:rsidRPr="0069716F">
        <w:rPr>
          <w:rFonts w:ascii="Times New Roman" w:hAnsi="Times New Roman" w:cs="Times New Roman"/>
          <w:b/>
          <w:sz w:val="24"/>
          <w:szCs w:val="24"/>
        </w:rPr>
        <w:t>dei cattolici nella vita politica</w:t>
      </w:r>
    </w:p>
    <w:p w:rsidR="00706E36" w:rsidRPr="00394B05" w:rsidRDefault="00706E36" w:rsidP="00706E36">
      <w:pPr>
        <w:spacing w:after="0" w:line="240" w:lineRule="atLeast"/>
        <w:jc w:val="center"/>
        <w:rPr>
          <w:rFonts w:ascii="Times New Roman" w:hAnsi="Times New Roman" w:cs="Times New Roman"/>
          <w:b/>
          <w:sz w:val="16"/>
          <w:szCs w:val="16"/>
        </w:rPr>
      </w:pPr>
    </w:p>
    <w:p w:rsidR="00706E36" w:rsidRDefault="00706E36" w:rsidP="00706E36">
      <w:pPr>
        <w:spacing w:after="0" w:line="240" w:lineRule="atLeast"/>
        <w:jc w:val="center"/>
        <w:rPr>
          <w:rFonts w:ascii="Times New Roman" w:hAnsi="Times New Roman" w:cs="Times New Roman"/>
          <w:sz w:val="24"/>
          <w:szCs w:val="24"/>
        </w:rPr>
      </w:pPr>
      <w:r>
        <w:rPr>
          <w:noProof/>
          <w:lang w:eastAsia="it-IT"/>
        </w:rPr>
        <w:drawing>
          <wp:inline distT="0" distB="0" distL="0" distR="0">
            <wp:extent cx="4162425" cy="2475791"/>
            <wp:effectExtent l="19050" t="0" r="9525" b="0"/>
            <wp:docPr id="4" name="Immagine 1" descr="Risultati immagini per La Chiesa Madre e Maes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Chiesa Madre e Maestra"/>
                    <pic:cNvPicPr>
                      <a:picLocks noChangeAspect="1" noChangeArrowheads="1"/>
                    </pic:cNvPicPr>
                  </pic:nvPicPr>
                  <pic:blipFill>
                    <a:blip r:embed="rId4" cstate="print"/>
                    <a:srcRect/>
                    <a:stretch>
                      <a:fillRect/>
                    </a:stretch>
                  </pic:blipFill>
                  <pic:spPr bwMode="auto">
                    <a:xfrm>
                      <a:off x="0" y="0"/>
                      <a:ext cx="4164617" cy="2477095"/>
                    </a:xfrm>
                    <a:prstGeom prst="rect">
                      <a:avLst/>
                    </a:prstGeom>
                    <a:noFill/>
                    <a:ln w="9525">
                      <a:noFill/>
                      <a:miter lim="800000"/>
                      <a:headEnd/>
                      <a:tailEnd/>
                    </a:ln>
                  </pic:spPr>
                </pic:pic>
              </a:graphicData>
            </a:graphic>
          </wp:inline>
        </w:drawing>
      </w:r>
    </w:p>
    <w:p w:rsidR="00706E36" w:rsidRDefault="00706E36" w:rsidP="00706E36">
      <w:pPr>
        <w:spacing w:after="0" w:line="240" w:lineRule="atLeast"/>
        <w:jc w:val="center"/>
        <w:rPr>
          <w:rFonts w:ascii="Times New Roman" w:hAnsi="Times New Roman" w:cs="Times New Roman"/>
          <w:sz w:val="16"/>
          <w:szCs w:val="16"/>
        </w:rPr>
      </w:pPr>
    </w:p>
    <w:p w:rsidR="00706E36" w:rsidRDefault="00706E36" w:rsidP="00706E36">
      <w:pPr>
        <w:spacing w:after="0" w:line="240" w:lineRule="atLeast"/>
        <w:jc w:val="center"/>
        <w:rPr>
          <w:rFonts w:ascii="Times New Roman" w:hAnsi="Times New Roman" w:cs="Times New Roman"/>
          <w:sz w:val="16"/>
          <w:szCs w:val="16"/>
        </w:rPr>
      </w:pPr>
      <w:r w:rsidRPr="00394B05">
        <w:rPr>
          <w:rFonts w:ascii="Times New Roman" w:hAnsi="Times New Roman" w:cs="Times New Roman"/>
          <w:sz w:val="16"/>
          <w:szCs w:val="16"/>
        </w:rPr>
        <w:t>(continuazione)</w:t>
      </w:r>
    </w:p>
    <w:p w:rsidR="00706E36" w:rsidRPr="00394B05" w:rsidRDefault="00706E36" w:rsidP="00706E36">
      <w:pPr>
        <w:spacing w:after="0" w:line="240" w:lineRule="atLeast"/>
        <w:jc w:val="center"/>
        <w:rPr>
          <w:rFonts w:ascii="Times New Roman" w:hAnsi="Times New Roman" w:cs="Times New Roman"/>
          <w:sz w:val="16"/>
          <w:szCs w:val="16"/>
        </w:rPr>
      </w:pPr>
    </w:p>
    <w:p w:rsidR="00706E36" w:rsidRDefault="00706E36" w:rsidP="00706E36">
      <w:pPr>
        <w:spacing w:after="0" w:line="240" w:lineRule="atLeast"/>
        <w:jc w:val="center"/>
        <w:rPr>
          <w:rFonts w:ascii="Times New Roman" w:hAnsi="Times New Roman" w:cs="Times New Roman"/>
          <w:b/>
          <w:sz w:val="24"/>
          <w:szCs w:val="24"/>
        </w:rPr>
      </w:pPr>
      <w:r w:rsidRPr="007C6304">
        <w:rPr>
          <w:rFonts w:ascii="Times New Roman" w:hAnsi="Times New Roman" w:cs="Times New Roman"/>
          <w:b/>
          <w:sz w:val="24"/>
          <w:szCs w:val="24"/>
        </w:rPr>
        <w:t>III. Principi della dottrina cattolica su laicità e pluralismo</w:t>
      </w:r>
    </w:p>
    <w:p w:rsidR="00706E36" w:rsidRPr="00394B05" w:rsidRDefault="00706E36" w:rsidP="00706E36">
      <w:pPr>
        <w:spacing w:after="0" w:line="240" w:lineRule="atLeast"/>
        <w:jc w:val="center"/>
        <w:rPr>
          <w:rFonts w:ascii="Times New Roman" w:hAnsi="Times New Roman" w:cs="Times New Roman"/>
          <w:b/>
          <w:sz w:val="16"/>
          <w:szCs w:val="16"/>
        </w:rPr>
      </w:pPr>
    </w:p>
    <w:p w:rsidR="00706E36" w:rsidRPr="00706E36" w:rsidRDefault="00706E36" w:rsidP="00706E36">
      <w:pPr>
        <w:spacing w:after="0" w:line="240" w:lineRule="atLeast"/>
        <w:ind w:left="284" w:hanging="284"/>
        <w:jc w:val="both"/>
        <w:rPr>
          <w:rFonts w:ascii="Times New Roman" w:hAnsi="Times New Roman" w:cs="Times New Roman"/>
        </w:rPr>
      </w:pPr>
      <w:r w:rsidRPr="00706E36">
        <w:rPr>
          <w:rFonts w:ascii="Times New Roman" w:hAnsi="Times New Roman" w:cs="Times New Roman"/>
        </w:rPr>
        <w:t xml:space="preserve"> 5. Di fronte a queste problematiche, se è lecito pensare all’utilizzo di una pluralità di metodologie, che rispecchiano sensibilità e culture differenti, nessun fedele tuttavia può appellarsi al principio del pluralismo e dell’autonomia dei laici in politica, favorendo soluzioni che compromettano o che attenuino la salvaguardia delle esigenze etiche fondamentali per il bene comune della società. Non si tratta di per sé di «valori confessionali», poiché tali esigenze etiche sono radicate nell’essere umano e appartengono alla legge morale naturale. Esse non esigono in chi le difende la professione di fede cristiana, anche se la dottrina della Chiesa le conferma e le tutela sempre e dovunque come servizio disinteressato alla verità sull’uomo e al bene comune delle società civili. D’altronde, non si può negare che la politica debba anche riferirsi a principi che sono dotati di valore assoluto proprio perché sono al servizio della dignità della persona e del vero progresso umano. </w:t>
      </w:r>
    </w:p>
    <w:p w:rsidR="00706E36" w:rsidRPr="00706E36" w:rsidRDefault="00706E36" w:rsidP="00706E36">
      <w:pPr>
        <w:spacing w:after="0" w:line="240" w:lineRule="atLeast"/>
        <w:ind w:left="284" w:hanging="284"/>
        <w:jc w:val="both"/>
        <w:rPr>
          <w:rFonts w:ascii="Times New Roman" w:hAnsi="Times New Roman" w:cs="Times New Roman"/>
        </w:rPr>
      </w:pPr>
      <w:r w:rsidRPr="00706E36">
        <w:rPr>
          <w:rFonts w:ascii="Times New Roman" w:hAnsi="Times New Roman" w:cs="Times New Roman"/>
        </w:rPr>
        <w:t xml:space="preserve">6. Il richiamo che spesso viene fatto in riferimento alla laicità che dovrebbe guidare l’impegno dei cattolici, richiede una chiarificazione non solo terminologica. La promozione secondo coscienza del bene comune della società politica nulla ha a che vedere con il confessionalismo o l’intolleranza religiosa. Per la dottrina morale cattolica la laicità intesa come autonomia della sfera civile e politica da quella religiosa ed ecclesiastica - ma non da quella morale - è un valore acquisito e riconosciuto dalla Chiesa e appartiene al patrimonio di civiltà che è stato raggiunto.[23] Giovanni Paolo II ha più volte messo in guardia contro i pericoli derivanti da qualsiasi confusione tra la sfera religiosa e la sfera politica. «Assai delicate sono le situazioni in cui una norma specificamente religiosa diventa, o tende a diventare, legge dello Stato, senza che si tenga in debito conto la distinzione tra le competenze della religione e quelle della società politica. Identificare la legge religiosa con quella civile può effettivamente soffocare la libertà religiosa e, persino, limitare o negare altri inalienabili diritti umani».[24]Tutti i fedeli sono ben consapevoli che gli atti specificamente religiosi (professione della fede, adempimento degli atti di culto e dei Sacramenti, dottrine teologiche, comunicazioni reciproche tra le autorità religiose e i fedeli, ecc.) restano fuori dalle competenze dello Stato, il quale né deve intromettersi né può in modo alcuno esigerli o impedirli, salve </w:t>
      </w:r>
      <w:r w:rsidRPr="00706E36">
        <w:rPr>
          <w:rFonts w:ascii="Times New Roman" w:hAnsi="Times New Roman" w:cs="Times New Roman"/>
        </w:rPr>
        <w:lastRenderedPageBreak/>
        <w:t xml:space="preserve">esigenze fondate di ordine pubblico. Il riconoscimento dei diritti civili e politici e l’erogazione dei pubblici servizi non possono restare condizionati a convinzioni o prestazioni di natura religiosa da parte dei cittadini. </w:t>
      </w:r>
    </w:p>
    <w:p w:rsidR="00706E36" w:rsidRPr="00706E36" w:rsidRDefault="00706E36" w:rsidP="00706E36">
      <w:pPr>
        <w:spacing w:after="0" w:line="240" w:lineRule="atLeast"/>
        <w:ind w:left="284"/>
        <w:jc w:val="both"/>
        <w:rPr>
          <w:rFonts w:ascii="Times New Roman" w:hAnsi="Times New Roman" w:cs="Times New Roman"/>
        </w:rPr>
      </w:pPr>
      <w:r w:rsidRPr="00706E36">
        <w:rPr>
          <w:rFonts w:ascii="Times New Roman" w:hAnsi="Times New Roman" w:cs="Times New Roman"/>
        </w:rPr>
        <w:t xml:space="preserve">Questione completamente diversa è il diritto-dovere dei cittadini cattolici, come di tutti gli altri cittadini, di cercare sinceramente la verità e di promuovere e difendere con mezzi leciti le verità morali riguardanti la vita sociale, la giustizia, la libertà, il rispetto della vita e degli altri diritti della persona. Il fatto che alcune di queste verità siano anche insegnate dalla Chiesa non diminuisce la legittimità civile e la laicità dell’impegno di coloro che in esse si riconoscono, indipendentemente dal ruolo che la ricerca razionale e la conferma procedente dalla fede abbiano svolto nel loro riconoscimento da parte di ogni singolo cittadino. La laicità, infatti, indica in primo luogo l’atteggiamento di chi rispetta le verità che scaturiscono dalla conoscenza naturale sull’uomo che vive in società, anche se tali verità siano nello stesso tempo insegnate da una religione specifica, poiché la verità è una. Sarebbe un errore confondere la giusta autonomia che i cattolici in politica debbono assumere con la rivendicazione di un principio che prescinde dall’insegnamento morale e sociale della Chiesa. </w:t>
      </w:r>
    </w:p>
    <w:p w:rsidR="00706E36" w:rsidRPr="00706E36" w:rsidRDefault="00706E36" w:rsidP="00706E36">
      <w:pPr>
        <w:spacing w:after="0" w:line="240" w:lineRule="atLeast"/>
        <w:ind w:left="284"/>
        <w:jc w:val="both"/>
        <w:rPr>
          <w:rFonts w:ascii="Times New Roman" w:hAnsi="Times New Roman" w:cs="Times New Roman"/>
        </w:rPr>
      </w:pPr>
      <w:r w:rsidRPr="00706E36">
        <w:rPr>
          <w:rFonts w:ascii="Times New Roman" w:hAnsi="Times New Roman" w:cs="Times New Roman"/>
        </w:rPr>
        <w:t xml:space="preserve">Con il suo intervento in questo ambito, il Magistero della Chiesa non vuole esercitare un potere politico né eliminare la libertà d’opinione dei cattolici su questioni contingenti. Esso intende invece come è suo proprio compito istruire e illuminare la coscienza dei fedeli, soprattutto di quanti si dedicano all’impegno nella vita politica, perché il loro agire sia sempre al servizio della promozione integrale della persona e del bene comune. L’insegnamento sociale della Chiesa non è un’intromissione nel governo dei singoli Paesi. Pone certamente un dovere morale di coerenza per 5 i fedeli laici, interiore alla loro coscienza, che è unica e unitaria. «Nella loro esistenza non possono esserci due vite parallele: da una parte, la vita cosiddetta spirituale, con i suoi valori e con le sue esigenze; e dall’altra, la vita cosiddetta secolare, ossia la vita di famiglia, di lavoro, dei rapporti sociali, dell’impegno politico e della cultura. Il tralcio, radicato nella vite che è Cristo, porta i suoi frutti in ogni settore dell’attività e dell’esistenza. Infatti, tutti i vari campi della vita laicale rientrano nel disegno di Dio, che li vuole come luogo storico del rivelarsi e del realizzarsi dell’amore di Gesù Cristo a gloria del Padre e a servizio dei fratelli. Ogni attività, ogni situazione, ogni impegno concreto come, ad esempio, la competenza e la solidarietà nel lavoro, l’amore e la dedizione nella famiglia e nell’educazione dei figli, il servizio sociale e politico, la proposta della verità nell’ambito della cultura sono occasioni provvidenziali per un continuo esercizio della fede, della speranza e della carità».[25]Vivere ed agire politicamente in conformità alla propria coscienza non è un succube adagiarsi su posizioni estranee all’impegno politico o su una forma di confessionalismo, ma l’espressione con cui i cristiani offrono il loro coerente apporto perché attraverso la politica si instauri un ordinamento sociale più giusto e coerente con la dignità della persona umana. </w:t>
      </w:r>
    </w:p>
    <w:p w:rsidR="00706E36" w:rsidRDefault="00706E36" w:rsidP="00706E36">
      <w:pPr>
        <w:spacing w:after="0" w:line="240" w:lineRule="atLeast"/>
        <w:ind w:left="284"/>
        <w:jc w:val="both"/>
        <w:rPr>
          <w:rFonts w:ascii="Times New Roman" w:hAnsi="Times New Roman" w:cs="Times New Roman"/>
        </w:rPr>
      </w:pPr>
      <w:r w:rsidRPr="00706E36">
        <w:rPr>
          <w:rFonts w:ascii="Times New Roman" w:hAnsi="Times New Roman" w:cs="Times New Roman"/>
        </w:rPr>
        <w:t xml:space="preserve">Nelle società democratiche tutte le proposte sono discusse e vagliate liberamente. Coloro che in nome del rispetto della coscienza individuale volessero vedere nel dovere morale dei cristiani di essere coerenti con la propria coscienza un segno per squalificarli politicamente, negando loro la legittimità di agire in politica coerentemente alle proprie convinzioni riguardanti il bene comune, incorrerebbero in una forma di intollerante laicismo. In questa prospettiva, infatti, si vuole negare non solo ogni rilevanza politica e culturale della fede cristiana, ma perfino la stessa possibilità di un’etica naturale. Se così fosse, si aprirebbe la strada ad un’anarchia morale che non potrebbe mai identificarsi con nessuna forma di legittimo pluralismo. La sopraffazione del più forte sul debole sarebbe la conseguenza ovvia di questa impostazione. La marginalizzazione del Cristianesimo, d’altronde, non potrebbe giovare al futuro progettuale di una società e alla concordia tra i popoli, ed anzi insidierebbe gli stessi fondamenti spirituali e culturali della civiltà.[26] </w:t>
      </w:r>
      <w:r w:rsidRPr="00706E36">
        <w:rPr>
          <w:rFonts w:ascii="Times New Roman" w:hAnsi="Times New Roman" w:cs="Times New Roman"/>
        </w:rPr>
        <w:tab/>
      </w:r>
      <w:r w:rsidRPr="00706E36">
        <w:rPr>
          <w:rFonts w:ascii="Times New Roman" w:hAnsi="Times New Roman" w:cs="Times New Roman"/>
        </w:rPr>
        <w:tab/>
      </w:r>
      <w:r w:rsidRPr="00706E36">
        <w:rPr>
          <w:rFonts w:ascii="Times New Roman" w:hAnsi="Times New Roman" w:cs="Times New Roman"/>
        </w:rPr>
        <w:tab/>
      </w:r>
      <w:r w:rsidRPr="00706E36">
        <w:rPr>
          <w:rFonts w:ascii="Times New Roman" w:hAnsi="Times New Roman" w:cs="Times New Roman"/>
        </w:rPr>
        <w:tab/>
      </w:r>
      <w:r w:rsidRPr="00706E36">
        <w:rPr>
          <w:rFonts w:ascii="Times New Roman" w:hAnsi="Times New Roman" w:cs="Times New Roman"/>
        </w:rPr>
        <w:tab/>
      </w:r>
      <w:r w:rsidRPr="00706E36">
        <w:rPr>
          <w:rFonts w:ascii="Times New Roman" w:hAnsi="Times New Roman" w:cs="Times New Roman"/>
        </w:rPr>
        <w:tab/>
      </w:r>
      <w:r w:rsidRPr="00706E36">
        <w:rPr>
          <w:rFonts w:ascii="Times New Roman" w:hAnsi="Times New Roman" w:cs="Times New Roman"/>
        </w:rPr>
        <w:tab/>
      </w:r>
      <w:r w:rsidRPr="00706E36">
        <w:rPr>
          <w:rFonts w:ascii="Times New Roman" w:hAnsi="Times New Roman" w:cs="Times New Roman"/>
        </w:rPr>
        <w:tab/>
      </w:r>
    </w:p>
    <w:p w:rsidR="00706E36" w:rsidRPr="00706E36" w:rsidRDefault="00706E36" w:rsidP="00706E36">
      <w:pPr>
        <w:spacing w:after="0" w:line="240" w:lineRule="atLeast"/>
        <w:ind w:left="284"/>
        <w:jc w:val="right"/>
        <w:rPr>
          <w:rFonts w:ascii="Times New Roman" w:hAnsi="Times New Roman" w:cs="Times New Roman"/>
        </w:rPr>
      </w:pPr>
      <w:r w:rsidRPr="00706E36">
        <w:rPr>
          <w:rFonts w:ascii="Times New Roman" w:hAnsi="Times New Roman" w:cs="Times New Roman"/>
        </w:rPr>
        <w:t>(continua al numero successivo)</w:t>
      </w:r>
    </w:p>
    <w:p w:rsidR="00706E36" w:rsidRDefault="00706E36" w:rsidP="00706E36">
      <w:pPr>
        <w:spacing w:after="0" w:line="240" w:lineRule="atLeast"/>
        <w:ind w:left="426" w:hanging="426"/>
        <w:jc w:val="both"/>
        <w:rPr>
          <w:rFonts w:ascii="Times New Roman" w:hAnsi="Times New Roman" w:cs="Times New Roman"/>
        </w:rPr>
      </w:pPr>
    </w:p>
    <w:p w:rsidR="00706E36" w:rsidRDefault="00706E36" w:rsidP="00706E36">
      <w:pPr>
        <w:spacing w:after="0" w:line="240" w:lineRule="atLeast"/>
        <w:ind w:left="426" w:hanging="426"/>
        <w:jc w:val="both"/>
        <w:rPr>
          <w:rFonts w:ascii="Times New Roman" w:hAnsi="Times New Roman" w:cs="Times New Roman"/>
        </w:rPr>
      </w:pPr>
    </w:p>
    <w:p w:rsidR="00706E36" w:rsidRPr="00706E36" w:rsidRDefault="00706E36" w:rsidP="00706E36">
      <w:pPr>
        <w:spacing w:after="0" w:line="240" w:lineRule="atLeast"/>
        <w:ind w:left="426" w:hanging="426"/>
        <w:jc w:val="both"/>
        <w:rPr>
          <w:rFonts w:ascii="Times New Roman" w:hAnsi="Times New Roman" w:cs="Times New Roman"/>
        </w:rPr>
      </w:pPr>
      <w:r w:rsidRPr="00706E36">
        <w:rPr>
          <w:rFonts w:ascii="Times New Roman" w:hAnsi="Times New Roman" w:cs="Times New Roman"/>
        </w:rPr>
        <w:t xml:space="preserve">[22] Catechismo della Chiesa Cattolica, n. 2304. </w:t>
      </w:r>
    </w:p>
    <w:p w:rsidR="00706E36" w:rsidRPr="00706E36" w:rsidRDefault="00706E36" w:rsidP="00706E36">
      <w:pPr>
        <w:spacing w:after="0" w:line="240" w:lineRule="atLeast"/>
        <w:ind w:left="426" w:hanging="426"/>
        <w:jc w:val="both"/>
        <w:rPr>
          <w:rFonts w:ascii="Times New Roman" w:hAnsi="Times New Roman" w:cs="Times New Roman"/>
        </w:rPr>
      </w:pPr>
      <w:r w:rsidRPr="00706E36">
        <w:rPr>
          <w:rFonts w:ascii="Times New Roman" w:hAnsi="Times New Roman" w:cs="Times New Roman"/>
        </w:rPr>
        <w:t xml:space="preserve">[23] Cfr. CONCILIO VATICANO II, Cost. </w:t>
      </w:r>
      <w:proofErr w:type="spellStart"/>
      <w:r w:rsidRPr="00706E36">
        <w:rPr>
          <w:rFonts w:ascii="Times New Roman" w:hAnsi="Times New Roman" w:cs="Times New Roman"/>
        </w:rPr>
        <w:t>Past</w:t>
      </w:r>
      <w:proofErr w:type="spellEnd"/>
      <w:r w:rsidRPr="00706E36">
        <w:rPr>
          <w:rFonts w:ascii="Times New Roman" w:hAnsi="Times New Roman" w:cs="Times New Roman"/>
        </w:rPr>
        <w:t xml:space="preserve">. </w:t>
      </w:r>
      <w:proofErr w:type="spellStart"/>
      <w:r w:rsidRPr="00706E36">
        <w:rPr>
          <w:rFonts w:ascii="Times New Roman" w:hAnsi="Times New Roman" w:cs="Times New Roman"/>
        </w:rPr>
        <w:t>Gaudium</w:t>
      </w:r>
      <w:proofErr w:type="spellEnd"/>
      <w:r w:rsidRPr="00706E36">
        <w:rPr>
          <w:rFonts w:ascii="Times New Roman" w:hAnsi="Times New Roman" w:cs="Times New Roman"/>
        </w:rPr>
        <w:t xml:space="preserve"> </w:t>
      </w:r>
      <w:proofErr w:type="spellStart"/>
      <w:r w:rsidRPr="00706E36">
        <w:rPr>
          <w:rFonts w:ascii="Times New Roman" w:hAnsi="Times New Roman" w:cs="Times New Roman"/>
        </w:rPr>
        <w:t>et</w:t>
      </w:r>
      <w:proofErr w:type="spellEnd"/>
      <w:r w:rsidRPr="00706E36">
        <w:rPr>
          <w:rFonts w:ascii="Times New Roman" w:hAnsi="Times New Roman" w:cs="Times New Roman"/>
        </w:rPr>
        <w:t xml:space="preserve"> </w:t>
      </w:r>
      <w:proofErr w:type="spellStart"/>
      <w:r w:rsidRPr="00706E36">
        <w:rPr>
          <w:rFonts w:ascii="Times New Roman" w:hAnsi="Times New Roman" w:cs="Times New Roman"/>
        </w:rPr>
        <w:t>spes</w:t>
      </w:r>
      <w:proofErr w:type="spellEnd"/>
      <w:r w:rsidRPr="00706E36">
        <w:rPr>
          <w:rFonts w:ascii="Times New Roman" w:hAnsi="Times New Roman" w:cs="Times New Roman"/>
        </w:rPr>
        <w:t xml:space="preserve">, n. 76. </w:t>
      </w:r>
    </w:p>
    <w:p w:rsidR="00706E36" w:rsidRPr="00706E36" w:rsidRDefault="00706E36" w:rsidP="00706E36">
      <w:pPr>
        <w:spacing w:after="0" w:line="240" w:lineRule="atLeast"/>
        <w:ind w:left="426" w:hanging="426"/>
        <w:jc w:val="both"/>
        <w:rPr>
          <w:rFonts w:ascii="Times New Roman" w:hAnsi="Times New Roman" w:cs="Times New Roman"/>
        </w:rPr>
      </w:pPr>
      <w:r w:rsidRPr="00706E36">
        <w:rPr>
          <w:rFonts w:ascii="Times New Roman" w:hAnsi="Times New Roman" w:cs="Times New Roman"/>
        </w:rPr>
        <w:t xml:space="preserve">[24] GIOVANNI PAOLO II, Messaggio per la celebrazione della Giornata Mondiale della Pace 1991: Se vuoi la pace, rispetta la coscienza di ogni uomo, IV, AAS 83 (1991) 410-421. </w:t>
      </w:r>
    </w:p>
    <w:p w:rsidR="00706E36" w:rsidRPr="00706E36" w:rsidRDefault="00706E36" w:rsidP="00706E36">
      <w:pPr>
        <w:spacing w:after="0" w:line="240" w:lineRule="atLeast"/>
        <w:ind w:left="426" w:hanging="426"/>
        <w:jc w:val="both"/>
        <w:rPr>
          <w:rFonts w:ascii="Times New Roman" w:hAnsi="Times New Roman" w:cs="Times New Roman"/>
        </w:rPr>
      </w:pPr>
      <w:r w:rsidRPr="00706E36">
        <w:rPr>
          <w:rFonts w:ascii="Times New Roman" w:hAnsi="Times New Roman" w:cs="Times New Roman"/>
        </w:rPr>
        <w:t xml:space="preserve">[25] GIOVANNI PAOLO II, </w:t>
      </w:r>
      <w:proofErr w:type="spellStart"/>
      <w:r w:rsidRPr="00706E36">
        <w:rPr>
          <w:rFonts w:ascii="Times New Roman" w:hAnsi="Times New Roman" w:cs="Times New Roman"/>
        </w:rPr>
        <w:t>Esort</w:t>
      </w:r>
      <w:proofErr w:type="spellEnd"/>
      <w:r w:rsidRPr="00706E36">
        <w:rPr>
          <w:rFonts w:ascii="Times New Roman" w:hAnsi="Times New Roman" w:cs="Times New Roman"/>
        </w:rPr>
        <w:t xml:space="preserve">. </w:t>
      </w:r>
      <w:proofErr w:type="spellStart"/>
      <w:r w:rsidRPr="00706E36">
        <w:rPr>
          <w:rFonts w:ascii="Times New Roman" w:hAnsi="Times New Roman" w:cs="Times New Roman"/>
        </w:rPr>
        <w:t>Apost</w:t>
      </w:r>
      <w:proofErr w:type="spellEnd"/>
      <w:r w:rsidRPr="00706E36">
        <w:rPr>
          <w:rFonts w:ascii="Times New Roman" w:hAnsi="Times New Roman" w:cs="Times New Roman"/>
        </w:rPr>
        <w:t xml:space="preserve">. </w:t>
      </w:r>
      <w:proofErr w:type="spellStart"/>
      <w:r w:rsidRPr="00706E36">
        <w:rPr>
          <w:rFonts w:ascii="Times New Roman" w:hAnsi="Times New Roman" w:cs="Times New Roman"/>
        </w:rPr>
        <w:t>Christifideles</w:t>
      </w:r>
      <w:proofErr w:type="spellEnd"/>
      <w:r w:rsidRPr="00706E36">
        <w:rPr>
          <w:rFonts w:ascii="Times New Roman" w:hAnsi="Times New Roman" w:cs="Times New Roman"/>
        </w:rPr>
        <w:t xml:space="preserve"> laici, n. 59. La citazione interna è del Concilio Vaticano II, Decreto </w:t>
      </w:r>
      <w:proofErr w:type="spellStart"/>
      <w:r w:rsidRPr="00706E36">
        <w:rPr>
          <w:rFonts w:ascii="Times New Roman" w:hAnsi="Times New Roman" w:cs="Times New Roman"/>
        </w:rPr>
        <w:t>Apostolicam</w:t>
      </w:r>
      <w:proofErr w:type="spellEnd"/>
      <w:r w:rsidRPr="00706E36">
        <w:rPr>
          <w:rFonts w:ascii="Times New Roman" w:hAnsi="Times New Roman" w:cs="Times New Roman"/>
        </w:rPr>
        <w:t xml:space="preserve"> </w:t>
      </w:r>
      <w:proofErr w:type="spellStart"/>
      <w:r w:rsidRPr="00706E36">
        <w:rPr>
          <w:rFonts w:ascii="Times New Roman" w:hAnsi="Times New Roman" w:cs="Times New Roman"/>
        </w:rPr>
        <w:t>actuositatem</w:t>
      </w:r>
      <w:proofErr w:type="spellEnd"/>
      <w:r w:rsidRPr="00706E36">
        <w:rPr>
          <w:rFonts w:ascii="Times New Roman" w:hAnsi="Times New Roman" w:cs="Times New Roman"/>
        </w:rPr>
        <w:t xml:space="preserve">, n. 4. </w:t>
      </w:r>
    </w:p>
    <w:p w:rsidR="00706E36" w:rsidRPr="00706E36" w:rsidRDefault="00706E36" w:rsidP="00706E36">
      <w:pPr>
        <w:spacing w:after="0" w:line="240" w:lineRule="atLeast"/>
        <w:ind w:left="426" w:hanging="426"/>
        <w:jc w:val="both"/>
        <w:rPr>
          <w:rFonts w:ascii="Times New Roman" w:hAnsi="Times New Roman" w:cs="Times New Roman"/>
        </w:rPr>
      </w:pPr>
      <w:r w:rsidRPr="00706E36">
        <w:rPr>
          <w:rFonts w:ascii="Times New Roman" w:hAnsi="Times New Roman" w:cs="Times New Roman"/>
        </w:rPr>
        <w:t xml:space="preserve">[26] Cfr. GIOVANNI PAOLO II, Discorso al Corpo Diplomatico accreditato presso la Santa Sede, in: L’Osservatore Romano, 11/I/2002. </w:t>
      </w:r>
    </w:p>
    <w:sectPr w:rsidR="00706E36" w:rsidRPr="00706E36" w:rsidSect="00706E36">
      <w:pgSz w:w="11906" w:h="16838"/>
      <w:pgMar w:top="1417" w:right="1134"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706E36"/>
    <w:rsid w:val="00706E36"/>
    <w:rsid w:val="009F2EA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06E3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06E3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06E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1164</Words>
  <Characters>6635</Characters>
  <Application>Microsoft Office Word</Application>
  <DocSecurity>0</DocSecurity>
  <Lines>55</Lines>
  <Paragraphs>15</Paragraphs>
  <ScaleCrop>false</ScaleCrop>
  <Company>Hewlett-Packard Company</Company>
  <LinksUpToDate>false</LinksUpToDate>
  <CharactersWithSpaces>7784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2018-06-27T15:02:00Z</dcterms:created>
  <dcterms:modified xsi:type="dcterms:W3CDTF">2018-06-27T15:04:00Z</dcterms:modified>
</cp:coreProperties>
</file>